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Прокуратура </w:t>
      </w:r>
      <w:r>
        <w:rPr>
          <w:rFonts w:ascii="Times New Roman" w:hAnsi="Times New Roman"/>
          <w:b w:val="1"/>
          <w:color w:val="333333"/>
          <w:sz w:val="28"/>
        </w:rPr>
        <w:t xml:space="preserve"> Прионежского района  разъясняет условия ответственности за </w:t>
      </w:r>
      <w:r>
        <w:rPr>
          <w:rFonts w:ascii="Times New Roman" w:hAnsi="Times New Roman"/>
          <w:b w:val="1"/>
          <w:color w:val="333333"/>
          <w:sz w:val="28"/>
        </w:rPr>
        <w:t>дропперство.</w:t>
      </w:r>
    </w:p>
    <w:p w14:paraId="02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</w:p>
    <w:p w14:paraId="03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Дроппер</w:t>
      </w:r>
      <w:r>
        <w:rPr>
          <w:rFonts w:ascii="Times New Roman" w:hAnsi="Times New Roman"/>
          <w:color w:val="333333"/>
          <w:sz w:val="28"/>
        </w:rPr>
        <w:t xml:space="preserve"> - это подставное физическое лицо, используемое в мошеннических схемах </w:t>
      </w:r>
      <w:r>
        <w:rPr>
          <w:rFonts w:ascii="Times New Roman" w:hAnsi="Times New Roman"/>
          <w:color w:val="333333"/>
          <w:sz w:val="28"/>
        </w:rPr>
        <w:t>обналичивания</w:t>
      </w:r>
      <w:r>
        <w:rPr>
          <w:rFonts w:ascii="Times New Roman" w:hAnsi="Times New Roman"/>
          <w:color w:val="333333"/>
          <w:sz w:val="28"/>
        </w:rPr>
        <w:t xml:space="preserve"> финансовых средств.</w:t>
      </w:r>
    </w:p>
    <w:p w14:paraId="04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24.06.2025 № 176-ФЗ ст.187 УК РФ дополнена новыми составами, устанавливающими ответственность для лиц, которые под влиянием злоумышленников или за денежное вознаграждение оформляют или передают свои банковские карты мошенникам.</w:t>
      </w:r>
    </w:p>
    <w:p w14:paraId="05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передачу из корыстных побуждений банковской карты или других средств электронного платежа другому лицу для того, чтобы тот осуществил с ее помощью какие-либо незаконные действия, а также за совершение незаконных операций из корыстной заинтересованности по указанию другого лица предусмотрен штраф в размере от ста до трехсот тысяч рублей, лишение свободы сроком до трех лет.</w:t>
      </w:r>
    </w:p>
    <w:p w14:paraId="06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случае приобретения карты для передачи другому лицу, которое замыслило совершить противоправные действия, виновному грозит штраф в размере от трехсот тысяч до одного миллиона рублей, лишение свободы на срок до шести лет со штрафом от ста до пятисот тысяч рублей.</w:t>
      </w:r>
    </w:p>
    <w:p w14:paraId="07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Наиболее серьезная ответственность предусматривается за осуществление неправомерных операций с использованием чужих банковских карт или электронных кошельков.</w:t>
      </w:r>
    </w:p>
    <w:p w14:paraId="08000000">
      <w:pPr>
        <w:widowControl w:val="1"/>
        <w:spacing w:afterAutospacing="on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Максимальное наказание за такое преступление предусмотрено в виде лишения свободы на срок до шести лет со штрафом в размере от трехсот тысяч до одного миллиона рублей.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2025-08-28T05:50:30Z</dcterms:created>
  <dcterms:modified xsi:type="dcterms:W3CDTF">2025-08-28T05:50:30Z</dcterms:modified>
</cp:coreProperties>
</file>